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5A" w:rsidRDefault="008F495A" w:rsidP="008F495A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附件2：辽宁师范大学财政专项资金建设项目</w:t>
      </w:r>
      <w:r w:rsidRPr="003206C7">
        <w:rPr>
          <w:rFonts w:ascii="黑体" w:eastAsia="黑体"/>
          <w:b/>
          <w:bCs/>
          <w:sz w:val="24"/>
          <w:szCs w:val="24"/>
        </w:rPr>
        <w:t>检查和绩效考评</w:t>
      </w:r>
      <w:r>
        <w:rPr>
          <w:rFonts w:ascii="黑体" w:eastAsia="黑体" w:hint="eastAsia"/>
          <w:b/>
          <w:bCs/>
          <w:sz w:val="24"/>
          <w:szCs w:val="24"/>
        </w:rPr>
        <w:t>打分表（自评）</w:t>
      </w:r>
    </w:p>
    <w:p w:rsidR="0013404D" w:rsidRDefault="006C1DB5" w:rsidP="008F495A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项目名称：</w:t>
      </w:r>
      <w:r>
        <w:rPr>
          <w:rFonts w:ascii="黑体" w:eastAsia="黑体"/>
          <w:b/>
          <w:bCs/>
          <w:sz w:val="24"/>
          <w:szCs w:val="24"/>
        </w:rPr>
        <w:t xml:space="preserve"> 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8"/>
        <w:gridCol w:w="1602"/>
        <w:gridCol w:w="6710"/>
        <w:gridCol w:w="3135"/>
        <w:gridCol w:w="709"/>
        <w:gridCol w:w="740"/>
      </w:tblGrid>
      <w:tr w:rsidR="00FA0AB3" w:rsidRPr="00A335EB" w:rsidTr="00FA0AB3">
        <w:trPr>
          <w:cantSplit/>
          <w:trHeight w:val="625"/>
        </w:trPr>
        <w:tc>
          <w:tcPr>
            <w:tcW w:w="451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检查和绩效考评标准及主要观测点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指标说明</w:t>
            </w:r>
          </w:p>
        </w:tc>
        <w:tc>
          <w:tcPr>
            <w:tcW w:w="250" w:type="pct"/>
            <w:vAlign w:val="center"/>
          </w:tcPr>
          <w:p w:rsid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分值</w:t>
            </w:r>
          </w:p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权重</w:t>
            </w:r>
          </w:p>
        </w:tc>
        <w:tc>
          <w:tcPr>
            <w:tcW w:w="261" w:type="pct"/>
          </w:tcPr>
          <w:p w:rsid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4"/>
              </w:rPr>
              <w:t>自评</w:t>
            </w:r>
          </w:p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4"/>
              </w:rPr>
              <w:t>打分</w:t>
            </w:r>
          </w:p>
        </w:tc>
      </w:tr>
      <w:tr w:rsidR="00FA0AB3" w:rsidRPr="00A335EB" w:rsidTr="00FA0AB3">
        <w:trPr>
          <w:cantSplit/>
          <w:trHeight w:val="596"/>
        </w:trPr>
        <w:tc>
          <w:tcPr>
            <w:tcW w:w="451" w:type="pct"/>
            <w:vMerge w:val="restar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1.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项目论证和总结</w:t>
            </w:r>
          </w:p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(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权重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>40%)</w:t>
            </w: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项目论证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论证充分、能够提升学校的办学特色和办学水平。对项目有分析、有论证、有明确的指导思想和具体的预期效益，有切实可行的保障措施。建设内容与论证材料、指导思想和预期目标符合度高。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查看项目论证报告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预算文本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预算科学合理。根据预算指标，能够制定科学合理的项目建设预算文本。绩效目标符合实际，与项目匹配，指标值细化量化具有操作性。完成制定的产出指标、效益指标和满意度指标。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查看项目预算文本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1159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方案科学合理，完成及时，与规划符合度高。按项目论证和预算指标，制定切实可行的实施方案。方案包括建设内容、资金情况、项目目标、建设内容、组织与进度安排、预期效益、保障措施、实施计划、项目支出明细等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查看项目实施方案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总结报告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总结全面、符合实际。以项目为单位，对建设项目论证、技术管理、绩效管理情况进行认真地总结，真实全面，能够分析项目在运行中存在的问题，并提出建议及项目下一步规划措施。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提交项目总结报告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 w:val="restar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2.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技术管理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>(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权重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>20%)</w:t>
            </w: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技术指标重点突出、规范全面、满足需要、指向性弱。按省财政厅批准的项目实施方案，能够组织技术小组对所购置仪器设备的技术指标进行有效性论证，做到货比三家，提出符合项目需求、技术合理、厂家指向性较弱的仪器技术指标，以保证专项资金效益最大化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在项目总结报告中体现，同时征求资产管理处意见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政府采购计划符合规范、及时有效。能够规范采购程序和内部监督机制，做到专项经费专款专用，不挪用和侵占。并按辽宁省财政厅的要求和规范，及时上报项目的政府采购计划。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在项目总结报告中体现，同时征求资产管理处意见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招标文件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招标文件中“项目需求及技术要求”格式规范、规格全面、符合招标规定。按照省财政厅批准的政府采购计划，及时高效地提出招标文件中“项目需求及技术要求”，保证项目按计划顺利进行。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在项目总结报告中体现，同时征求资产管理处意见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验收结算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验收工作组织到位、全面、及时提交验收报告。根据货物合同，全面做好仪器设备到货安将装验收准备，到货时，能够组织管理人员和技术专家及时对仪器设备进行技术验收，实事求是地完成每一批仪器设备的验收报告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在项目总结报告中体现，同时征求资产管理处意见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及时入机入账、信息准确无误。验收合格、属于固定资产的仪器设备能够及时入机入账，并保证入固定资产的仪器设备信息准确无误。验收不合格的仪器设备等项目，要及时反馈，提交验收报告，确保学校及时与供应商进行索赔、调换等协调事宜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在项目总结报告中体现，同时征求资产管理处意见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8"/>
        <w:gridCol w:w="1602"/>
        <w:gridCol w:w="6710"/>
        <w:gridCol w:w="3135"/>
        <w:gridCol w:w="709"/>
        <w:gridCol w:w="740"/>
      </w:tblGrid>
      <w:tr w:rsidR="00FA0AB3" w:rsidRPr="00A335EB" w:rsidTr="00FA0AB3">
        <w:trPr>
          <w:cantSplit/>
          <w:trHeight w:val="738"/>
        </w:trPr>
        <w:tc>
          <w:tcPr>
            <w:tcW w:w="451" w:type="pct"/>
            <w:vMerge w:val="restar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3.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绩效管理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>(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权重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>25%)</w:t>
            </w: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硬件建设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实验室、实训室、资料中心、服务设施等硬件建设水平达到项目绩效目标。仪器设备利用率高，实验室开放程度高，大型仪器设备对外提供服务能力强，效果明显。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由项目单位提供实验室和仪器设备统计表，并提供对校内、外高校和单位开放业绩，高层次学术交流与合作的业绩。专家组现场考察。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软件建设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完成绩效目标确定的教学、科研等软件建设的量化指标数。包括新开实验课程名称、综合性设计性实验项目名称、创新性实验项目名称统计表，教学质量工程获奖情况，教师获批科研课题、发表科研论文等情况。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由项目单位提供相关统计表。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制度建设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制度健全，规范执行。项目单位根据实际需要制订项目管理制度（方案论证、设备技术指标论证、设备验收等）、仪器设备管理制度（大型仪器设备操作规程、大型仪器共享制度、新建实验室管理规程等）。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由项目单位提交项目执行和使用管理制度。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队伍建设有成效。项目建设对提高教师和实验技术人员能力和水平的作用。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由项目单位提供利用项目培训和技能提高材料。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Merge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建设水平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建设项目有创新和特色明显，成效显著、区域影响力大。内容包括：建设的实验室与国内同类实验室比较创新点和特色；对实验教学的促进作用，尤其是通过实验教学手段的扩充和提升，带来的成效；实验室是否具有示范性和代表性，是否属于填补当地相关学科空白，或推动该学科在当地的发展；通过一定阶段的发展，所研究的成果是否有利于当地经济的发展，成果转化方面效益是否明显等。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由项目单位依据建设成果的事实进行阐述。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4.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追踪问责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>(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权重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>10%)</w:t>
            </w: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支出审核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专款专用，支出规范合理。倒查支出项目明细与实施方案符合度，审查项目经费是否专款专用，支出是否合理规范。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由项目单位提供项目支出明细表。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51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5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．建议及下一步工作规划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>(</w:t>
            </w: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权重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t>5%)</w:t>
            </w:r>
          </w:p>
        </w:tc>
        <w:tc>
          <w:tcPr>
            <w:tcW w:w="565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建议及下一步规划</w:t>
            </w:r>
          </w:p>
        </w:tc>
        <w:tc>
          <w:tcPr>
            <w:tcW w:w="2367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对专项资金项目有合理化建建议，对实施项目下一步工作有科学、可持续发展的措施和规划。</w:t>
            </w:r>
          </w:p>
        </w:tc>
        <w:tc>
          <w:tcPr>
            <w:tcW w:w="1106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由项目单位提供材料，在总结报告中体现。</w:t>
            </w:r>
          </w:p>
        </w:tc>
        <w:tc>
          <w:tcPr>
            <w:tcW w:w="250" w:type="pct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  <w:tr w:rsidR="00FA0AB3" w:rsidRPr="00A335EB" w:rsidTr="00FA0AB3">
        <w:trPr>
          <w:cantSplit/>
          <w:trHeight w:val="738"/>
        </w:trPr>
        <w:tc>
          <w:tcPr>
            <w:tcW w:w="4489" w:type="pct"/>
            <w:gridSpan w:val="4"/>
            <w:vAlign w:val="center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50" w:type="pct"/>
            <w:vAlign w:val="center"/>
          </w:tcPr>
          <w:p w:rsidR="00FA0AB3" w:rsidRPr="00FA0AB3" w:rsidRDefault="00895FC7" w:rsidP="00FA0AB3">
            <w:pPr>
              <w:adjustRightInd w:val="0"/>
              <w:snapToGrid w:val="0"/>
              <w:spacing w:line="360" w:lineRule="exact"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FA0AB3">
              <w:rPr>
                <w:rFonts w:cs="宋体"/>
                <w:b/>
                <w:kern w:val="0"/>
                <w:sz w:val="24"/>
                <w:szCs w:val="24"/>
              </w:rPr>
              <w:fldChar w:fldCharType="begin"/>
            </w:r>
            <w:r w:rsidR="00FA0AB3" w:rsidRPr="00FA0AB3">
              <w:rPr>
                <w:rFonts w:cs="宋体"/>
                <w:b/>
                <w:kern w:val="0"/>
                <w:sz w:val="24"/>
                <w:szCs w:val="24"/>
              </w:rPr>
              <w:instrText xml:space="preserve"> =SUM(ABOVE) </w:instrTex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fldChar w:fldCharType="separate"/>
            </w:r>
            <w:r w:rsidR="00FA0AB3" w:rsidRPr="00FA0AB3">
              <w:rPr>
                <w:rFonts w:cs="宋体"/>
                <w:b/>
                <w:kern w:val="0"/>
                <w:sz w:val="24"/>
                <w:szCs w:val="24"/>
              </w:rPr>
              <w:t>100</w:t>
            </w:r>
            <w:r w:rsidRPr="00FA0AB3">
              <w:rPr>
                <w:rFonts w:cs="宋体"/>
                <w:b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</w:tcPr>
          <w:p w:rsidR="00FA0AB3" w:rsidRPr="00FA0AB3" w:rsidRDefault="00FA0AB3" w:rsidP="00FA0AB3">
            <w:pPr>
              <w:adjustRightInd w:val="0"/>
              <w:snapToGrid w:val="0"/>
              <w:spacing w:line="360" w:lineRule="exact"/>
              <w:rPr>
                <w:rFonts w:cs="宋体"/>
                <w:b/>
                <w:kern w:val="0"/>
                <w:sz w:val="24"/>
                <w:szCs w:val="24"/>
              </w:rPr>
            </w:pPr>
          </w:p>
        </w:tc>
      </w:tr>
    </w:tbl>
    <w:p w:rsidR="00FA0AB3" w:rsidRDefault="00FA0AB3" w:rsidP="008F495A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 xml:space="preserve">项目负责人签字：                                 学院院长签字：              </w:t>
      </w:r>
      <w:r w:rsidR="006C1DB5">
        <w:rPr>
          <w:rFonts w:ascii="黑体" w:eastAsia="黑体" w:hint="eastAsia"/>
          <w:b/>
          <w:bCs/>
          <w:sz w:val="24"/>
          <w:szCs w:val="24"/>
        </w:rPr>
        <w:t xml:space="preserve">                         学院（盖印）：</w:t>
      </w:r>
      <w:r>
        <w:rPr>
          <w:rFonts w:ascii="黑体" w:eastAsia="黑体" w:hint="eastAsia"/>
          <w:b/>
          <w:bCs/>
          <w:sz w:val="24"/>
          <w:szCs w:val="24"/>
        </w:rPr>
        <w:t xml:space="preserve"> </w:t>
      </w:r>
    </w:p>
    <w:p w:rsidR="00FA0AB3" w:rsidRPr="00FA0AB3" w:rsidRDefault="00FA0AB3" w:rsidP="00FA0AB3">
      <w:pPr>
        <w:wordWrap w:val="0"/>
        <w:spacing w:line="360" w:lineRule="auto"/>
        <w:jc w:val="right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>年     月    日</w:t>
      </w:r>
    </w:p>
    <w:sectPr w:rsidR="00FA0AB3" w:rsidRPr="00FA0AB3" w:rsidSect="00FD3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0C" w:rsidRDefault="00B5470C" w:rsidP="00CD2B30">
      <w:r>
        <w:separator/>
      </w:r>
    </w:p>
  </w:endnote>
  <w:endnote w:type="continuationSeparator" w:id="1">
    <w:p w:rsidR="00B5470C" w:rsidRDefault="00B5470C" w:rsidP="00CD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C7" w:rsidRDefault="00DF5B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53" w:rsidRDefault="00895FC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49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DB5">
      <w:rPr>
        <w:rStyle w:val="a4"/>
        <w:noProof/>
      </w:rPr>
      <w:t>1</w:t>
    </w:r>
    <w:r>
      <w:rPr>
        <w:rStyle w:val="a4"/>
      </w:rPr>
      <w:fldChar w:fldCharType="end"/>
    </w:r>
  </w:p>
  <w:p w:rsidR="00BB0553" w:rsidRDefault="00B5470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C7" w:rsidRDefault="00DF5B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0C" w:rsidRDefault="00B5470C" w:rsidP="00CD2B30">
      <w:r>
        <w:separator/>
      </w:r>
    </w:p>
  </w:footnote>
  <w:footnote w:type="continuationSeparator" w:id="1">
    <w:p w:rsidR="00B5470C" w:rsidRDefault="00B5470C" w:rsidP="00CD2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C7" w:rsidRDefault="00DF5B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C7" w:rsidRPr="00DF5BC7" w:rsidRDefault="00DF5BC7" w:rsidP="00DF5BC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C7" w:rsidRDefault="00DF5BC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95A"/>
    <w:rsid w:val="00057A84"/>
    <w:rsid w:val="000758DF"/>
    <w:rsid w:val="000D2E86"/>
    <w:rsid w:val="000E6C3F"/>
    <w:rsid w:val="00117C57"/>
    <w:rsid w:val="0013404D"/>
    <w:rsid w:val="00242B68"/>
    <w:rsid w:val="002A50F6"/>
    <w:rsid w:val="005E1E97"/>
    <w:rsid w:val="006C1DB5"/>
    <w:rsid w:val="006D73D6"/>
    <w:rsid w:val="00733BBC"/>
    <w:rsid w:val="00777FC0"/>
    <w:rsid w:val="00823DC1"/>
    <w:rsid w:val="00895FC7"/>
    <w:rsid w:val="008F495A"/>
    <w:rsid w:val="00995533"/>
    <w:rsid w:val="009D7EB6"/>
    <w:rsid w:val="009F3F41"/>
    <w:rsid w:val="00A07FB8"/>
    <w:rsid w:val="00A1469F"/>
    <w:rsid w:val="00AF59AB"/>
    <w:rsid w:val="00B5470C"/>
    <w:rsid w:val="00BA3BC5"/>
    <w:rsid w:val="00C74A42"/>
    <w:rsid w:val="00CD2B30"/>
    <w:rsid w:val="00DF5BC7"/>
    <w:rsid w:val="00FA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147" w:firstLineChars="196" w:firstLine="1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5A"/>
    <w:pPr>
      <w:widowControl w:val="0"/>
      <w:ind w:right="0" w:firstLineChars="0"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F495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F495A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DF5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F5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admin</cp:lastModifiedBy>
  <cp:revision>8</cp:revision>
  <dcterms:created xsi:type="dcterms:W3CDTF">2014-10-13T01:43:00Z</dcterms:created>
  <dcterms:modified xsi:type="dcterms:W3CDTF">2017-11-07T00:15:00Z</dcterms:modified>
</cp:coreProperties>
</file>